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73" w:rsidRDefault="00424A1C">
      <w:r>
        <w:t>Graf č. 1</w:t>
      </w:r>
    </w:p>
    <w:p w:rsidR="00645DBD" w:rsidRDefault="00854622">
      <w:r>
        <w:rPr>
          <w:noProof/>
          <w:lang w:val="cs-CZ" w:eastAsia="cs-CZ"/>
        </w:rPr>
        <w:drawing>
          <wp:inline distT="0" distB="0" distL="0" distR="0" wp14:anchorId="51BA9545" wp14:editId="2038AC39">
            <wp:extent cx="8899452" cy="5082363"/>
            <wp:effectExtent l="0" t="0" r="16510" b="2349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54622" w:rsidRDefault="00854622"/>
    <w:p w:rsidR="00BF00C1" w:rsidRDefault="00BF00C1" w:rsidP="00BF00C1">
      <w:r>
        <w:lastRenderedPageBreak/>
        <w:t>Graf č. 2</w:t>
      </w:r>
    </w:p>
    <w:p w:rsidR="00BF00C1" w:rsidRDefault="008F4B73">
      <w:r>
        <w:rPr>
          <w:noProof/>
          <w:lang w:val="cs-CZ" w:eastAsia="cs-CZ"/>
        </w:rPr>
        <w:drawing>
          <wp:inline distT="0" distB="0" distL="0" distR="0" wp14:anchorId="58BFBBE6" wp14:editId="6365F8C9">
            <wp:extent cx="8782493" cy="5167423"/>
            <wp:effectExtent l="0" t="0" r="19050" b="1460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A24D9" w:rsidRDefault="00EA24D9">
      <w:r w:rsidRPr="00EA24D9">
        <w:rPr>
          <w:rFonts w:ascii="Times New Roman" w:hAnsi="Times New Roman" w:cs="Times New Roman"/>
          <w:b/>
          <w:sz w:val="24"/>
          <w:szCs w:val="24"/>
        </w:rPr>
        <w:lastRenderedPageBreak/>
        <w:t>Výpočet modelového odhadu hrubého domáceho produktu (</w:t>
      </w:r>
      <w:proofErr w:type="spellStart"/>
      <w:r w:rsidRPr="00EA24D9">
        <w:rPr>
          <w:rFonts w:ascii="Times New Roman" w:hAnsi="Times New Roman" w:cs="Times New Roman"/>
          <w:b/>
          <w:sz w:val="24"/>
          <w:szCs w:val="24"/>
        </w:rPr>
        <w:t>s.c</w:t>
      </w:r>
      <w:proofErr w:type="spellEnd"/>
      <w:r w:rsidRPr="00EA24D9">
        <w:rPr>
          <w:rFonts w:ascii="Times New Roman" w:hAnsi="Times New Roman" w:cs="Times New Roman"/>
          <w:b/>
          <w:sz w:val="24"/>
          <w:szCs w:val="24"/>
        </w:rPr>
        <w:t xml:space="preserve">. rok 2010) za </w:t>
      </w:r>
      <w:r w:rsidR="00854622">
        <w:rPr>
          <w:rFonts w:ascii="Times New Roman" w:hAnsi="Times New Roman" w:cs="Times New Roman"/>
          <w:b/>
          <w:sz w:val="24"/>
          <w:szCs w:val="24"/>
        </w:rPr>
        <w:t>I. štvrťrok</w:t>
      </w:r>
      <w:r w:rsidR="006B1E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rok</w:t>
      </w:r>
      <w:r w:rsidR="006B1E1D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EA24D9">
        <w:rPr>
          <w:rFonts w:ascii="Times New Roman" w:hAnsi="Times New Roman" w:cs="Times New Roman"/>
          <w:b/>
          <w:sz w:val="24"/>
          <w:szCs w:val="24"/>
        </w:rPr>
        <w:t>201</w:t>
      </w:r>
      <w:r w:rsidR="006B1E1D">
        <w:rPr>
          <w:rFonts w:ascii="Times New Roman" w:hAnsi="Times New Roman" w:cs="Times New Roman"/>
          <w:b/>
          <w:sz w:val="24"/>
          <w:szCs w:val="24"/>
        </w:rPr>
        <w:t>8</w:t>
      </w:r>
      <w:r w:rsidRPr="00EA24D9">
        <w:rPr>
          <w:rFonts w:ascii="Times New Roman" w:hAnsi="Times New Roman" w:cs="Times New Roman"/>
          <w:b/>
          <w:sz w:val="24"/>
          <w:szCs w:val="24"/>
        </w:rPr>
        <w:t xml:space="preserve"> na základe spotreby elektrickej energie (GRAF Č. 1)</w:t>
      </w:r>
    </w:p>
    <w:p w:rsidR="00EA24D9" w:rsidRPr="00EA24D9" w:rsidRDefault="00EA24D9">
      <w:pPr>
        <w:rPr>
          <w:rFonts w:ascii="Times New Roman" w:hAnsi="Times New Roman" w:cs="Times New Roman"/>
          <w:b/>
          <w:sz w:val="24"/>
          <w:szCs w:val="24"/>
        </w:rPr>
      </w:pPr>
      <w:r w:rsidRPr="00EA24D9">
        <w:rPr>
          <w:rFonts w:ascii="Times New Roman" w:hAnsi="Times New Roman" w:cs="Times New Roman"/>
          <w:b/>
          <w:sz w:val="24"/>
          <w:szCs w:val="24"/>
        </w:rPr>
        <w:t>Rok 201</w:t>
      </w:r>
      <w:r w:rsidR="006B1E1D">
        <w:rPr>
          <w:rFonts w:ascii="Times New Roman" w:hAnsi="Times New Roman" w:cs="Times New Roman"/>
          <w:b/>
          <w:sz w:val="24"/>
          <w:szCs w:val="24"/>
        </w:rPr>
        <w:t>7</w:t>
      </w:r>
      <w:r w:rsidRPr="00EA2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622">
        <w:rPr>
          <w:rFonts w:ascii="Times New Roman" w:hAnsi="Times New Roman" w:cs="Times New Roman"/>
          <w:b/>
          <w:sz w:val="24"/>
          <w:szCs w:val="24"/>
        </w:rPr>
        <w:t>I. štvrťrok</w:t>
      </w:r>
      <w:r w:rsidRPr="00EA2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0C1">
        <w:rPr>
          <w:rFonts w:ascii="Times New Roman" w:hAnsi="Times New Roman" w:cs="Times New Roman"/>
          <w:b/>
          <w:sz w:val="24"/>
          <w:szCs w:val="24"/>
        </w:rPr>
        <w:t>(</w:t>
      </w:r>
      <w:r w:rsidRPr="00EA24D9">
        <w:rPr>
          <w:rFonts w:ascii="Times New Roman" w:hAnsi="Times New Roman" w:cs="Times New Roman"/>
          <w:b/>
          <w:sz w:val="24"/>
          <w:szCs w:val="24"/>
        </w:rPr>
        <w:t>skutočnosť</w:t>
      </w:r>
      <w:r w:rsidR="00BF00C1">
        <w:rPr>
          <w:rFonts w:ascii="Times New Roman" w:hAnsi="Times New Roman" w:cs="Times New Roman"/>
          <w:b/>
          <w:sz w:val="24"/>
          <w:szCs w:val="24"/>
        </w:rPr>
        <w:t>)</w:t>
      </w:r>
      <w:r w:rsidRPr="00EA24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24D9" w:rsidRPr="00854622" w:rsidRDefault="00EA24D9" w:rsidP="00CA0347">
      <w:pPr>
        <w:rPr>
          <w:rFonts w:ascii="Times New Roman" w:hAnsi="Times New Roman" w:cs="Times New Roman"/>
          <w:sz w:val="24"/>
          <w:szCs w:val="24"/>
        </w:rPr>
      </w:pPr>
      <w:r w:rsidRPr="00CA0347">
        <w:rPr>
          <w:rFonts w:ascii="Times New Roman" w:hAnsi="Times New Roman" w:cs="Times New Roman"/>
          <w:sz w:val="24"/>
          <w:szCs w:val="24"/>
        </w:rPr>
        <w:t xml:space="preserve">Spotreba elektrickej </w:t>
      </w:r>
      <w:r w:rsidRPr="00854622">
        <w:rPr>
          <w:rFonts w:ascii="Times New Roman" w:hAnsi="Times New Roman" w:cs="Times New Roman"/>
          <w:sz w:val="24"/>
          <w:szCs w:val="24"/>
        </w:rPr>
        <w:t xml:space="preserve">energie                     </w:t>
      </w:r>
      <w:r w:rsidR="00BF00C1" w:rsidRPr="0085462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54622">
        <w:rPr>
          <w:rFonts w:ascii="Times New Roman" w:hAnsi="Times New Roman" w:cs="Times New Roman"/>
          <w:sz w:val="24"/>
          <w:szCs w:val="24"/>
        </w:rPr>
        <w:t xml:space="preserve">       E = </w:t>
      </w:r>
      <w:r w:rsidR="00854622" w:rsidRPr="0085462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8042058 </w:t>
      </w:r>
      <w:r w:rsidRPr="00854622">
        <w:rPr>
          <w:rFonts w:ascii="Times New Roman" w:hAnsi="Times New Roman" w:cs="Times New Roman"/>
          <w:sz w:val="24"/>
          <w:szCs w:val="24"/>
        </w:rPr>
        <w:t xml:space="preserve"> MWH </w:t>
      </w:r>
    </w:p>
    <w:p w:rsidR="001A16B8" w:rsidRPr="00854622" w:rsidRDefault="00EA24D9" w:rsidP="00CA0347">
      <w:pPr>
        <w:rPr>
          <w:rFonts w:ascii="Times New Roman" w:hAnsi="Times New Roman" w:cs="Times New Roman"/>
          <w:sz w:val="24"/>
          <w:szCs w:val="24"/>
        </w:rPr>
      </w:pPr>
      <w:r w:rsidRPr="00854622">
        <w:rPr>
          <w:rFonts w:ascii="Times New Roman" w:hAnsi="Times New Roman" w:cs="Times New Roman"/>
          <w:sz w:val="24"/>
          <w:szCs w:val="24"/>
        </w:rPr>
        <w:t xml:space="preserve">tvorba HDP v </w:t>
      </w:r>
      <w:proofErr w:type="spellStart"/>
      <w:r w:rsidRPr="00854622">
        <w:rPr>
          <w:rFonts w:ascii="Times New Roman" w:hAnsi="Times New Roman" w:cs="Times New Roman"/>
          <w:sz w:val="24"/>
          <w:szCs w:val="24"/>
        </w:rPr>
        <w:t>s.c</w:t>
      </w:r>
      <w:proofErr w:type="spellEnd"/>
      <w:r w:rsidRPr="00854622">
        <w:rPr>
          <w:rFonts w:ascii="Times New Roman" w:hAnsi="Times New Roman" w:cs="Times New Roman"/>
          <w:sz w:val="24"/>
          <w:szCs w:val="24"/>
        </w:rPr>
        <w:t xml:space="preserve">. na 1 GWH </w:t>
      </w:r>
      <w:r w:rsidR="00CA0347" w:rsidRPr="00854622">
        <w:rPr>
          <w:rFonts w:ascii="Times New Roman" w:hAnsi="Times New Roman" w:cs="Times New Roman"/>
          <w:sz w:val="24"/>
          <w:szCs w:val="24"/>
        </w:rPr>
        <w:t xml:space="preserve">         </w:t>
      </w:r>
      <w:r w:rsidR="001A16B8" w:rsidRPr="0085462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54622">
        <w:rPr>
          <w:rFonts w:ascii="Times New Roman" w:hAnsi="Times New Roman" w:cs="Times New Roman"/>
          <w:sz w:val="24"/>
          <w:szCs w:val="24"/>
        </w:rPr>
        <w:t xml:space="preserve"> y = </w:t>
      </w:r>
      <w:r w:rsidR="006B1E1D" w:rsidRPr="0085462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2,324740757 </w:t>
      </w:r>
      <w:proofErr w:type="spellStart"/>
      <w:r w:rsidRPr="00854622">
        <w:rPr>
          <w:rFonts w:ascii="Times New Roman" w:hAnsi="Times New Roman" w:cs="Times New Roman"/>
          <w:sz w:val="24"/>
          <w:szCs w:val="24"/>
        </w:rPr>
        <w:t>mil.EUR</w:t>
      </w:r>
      <w:proofErr w:type="spellEnd"/>
      <w:r w:rsidRPr="00854622">
        <w:rPr>
          <w:rFonts w:ascii="Times New Roman" w:hAnsi="Times New Roman" w:cs="Times New Roman"/>
          <w:sz w:val="24"/>
          <w:szCs w:val="24"/>
        </w:rPr>
        <w:t xml:space="preserve">/GWH </w:t>
      </w:r>
    </w:p>
    <w:p w:rsidR="001A16B8" w:rsidRPr="00854622" w:rsidRDefault="00EA24D9" w:rsidP="00157646">
      <w:pPr>
        <w:rPr>
          <w:rFonts w:ascii="Times New Roman" w:hAnsi="Times New Roman" w:cs="Times New Roman"/>
          <w:sz w:val="24"/>
          <w:szCs w:val="24"/>
        </w:rPr>
      </w:pPr>
      <w:r w:rsidRPr="00854622">
        <w:rPr>
          <w:rFonts w:ascii="Times New Roman" w:hAnsi="Times New Roman" w:cs="Times New Roman"/>
          <w:sz w:val="24"/>
          <w:szCs w:val="24"/>
        </w:rPr>
        <w:t xml:space="preserve">Hodnota HDP v </w:t>
      </w:r>
      <w:proofErr w:type="spellStart"/>
      <w:r w:rsidRPr="00854622">
        <w:rPr>
          <w:rFonts w:ascii="Times New Roman" w:hAnsi="Times New Roman" w:cs="Times New Roman"/>
          <w:sz w:val="24"/>
          <w:szCs w:val="24"/>
        </w:rPr>
        <w:t>s.c</w:t>
      </w:r>
      <w:proofErr w:type="spellEnd"/>
      <w:r w:rsidRPr="00854622">
        <w:rPr>
          <w:rFonts w:ascii="Times New Roman" w:hAnsi="Times New Roman" w:cs="Times New Roman"/>
          <w:sz w:val="24"/>
          <w:szCs w:val="24"/>
        </w:rPr>
        <w:t xml:space="preserve">. </w:t>
      </w:r>
      <w:r w:rsidR="001A16B8" w:rsidRPr="008546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854622">
        <w:rPr>
          <w:rFonts w:ascii="Times New Roman" w:hAnsi="Times New Roman" w:cs="Times New Roman"/>
          <w:sz w:val="24"/>
          <w:szCs w:val="24"/>
        </w:rPr>
        <w:t xml:space="preserve">HDP = </w:t>
      </w:r>
      <w:r w:rsidR="00854622" w:rsidRPr="00854622">
        <w:rPr>
          <w:rFonts w:ascii="Times New Roman" w:eastAsia="Times New Roman" w:hAnsi="Times New Roman" w:cs="Times New Roman"/>
          <w:color w:val="454545"/>
          <w:sz w:val="24"/>
          <w:szCs w:val="24"/>
          <w:lang w:val="cs-CZ" w:eastAsia="cs-CZ"/>
        </w:rPr>
        <w:t xml:space="preserve">18 695,70 </w:t>
      </w:r>
      <w:r w:rsidR="00731057" w:rsidRPr="00854622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854622">
        <w:rPr>
          <w:rFonts w:ascii="Times New Roman" w:hAnsi="Times New Roman" w:cs="Times New Roman"/>
          <w:sz w:val="24"/>
          <w:szCs w:val="24"/>
        </w:rPr>
        <w:t>mil.EUR</w:t>
      </w:r>
      <w:proofErr w:type="spellEnd"/>
      <w:r w:rsidRPr="008546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16B8" w:rsidRDefault="00EA24D9" w:rsidP="009F3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6B8">
        <w:rPr>
          <w:rFonts w:ascii="Times New Roman" w:hAnsi="Times New Roman" w:cs="Times New Roman"/>
          <w:sz w:val="24"/>
          <w:szCs w:val="24"/>
        </w:rPr>
        <w:t xml:space="preserve">Medziročný rast </w:t>
      </w:r>
      <w:r w:rsidR="001A16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31057">
        <w:rPr>
          <w:rFonts w:ascii="Times New Roman" w:hAnsi="Times New Roman" w:cs="Times New Roman"/>
          <w:sz w:val="24"/>
          <w:szCs w:val="24"/>
        </w:rPr>
        <w:t>3</w:t>
      </w:r>
      <w:r w:rsidRPr="001A16B8">
        <w:rPr>
          <w:rFonts w:ascii="Times New Roman" w:hAnsi="Times New Roman" w:cs="Times New Roman"/>
          <w:sz w:val="24"/>
          <w:szCs w:val="24"/>
        </w:rPr>
        <w:t xml:space="preserve"> % </w:t>
      </w:r>
    </w:p>
    <w:p w:rsidR="009F3F36" w:rsidRDefault="009F3F36" w:rsidP="009F3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669" w:rsidRPr="009F3F36" w:rsidRDefault="00EA24D9">
      <w:pPr>
        <w:rPr>
          <w:rFonts w:ascii="Times New Roman" w:hAnsi="Times New Roman" w:cs="Times New Roman"/>
          <w:b/>
          <w:sz w:val="24"/>
          <w:szCs w:val="24"/>
        </w:rPr>
      </w:pPr>
      <w:r w:rsidRPr="009F3F36">
        <w:rPr>
          <w:rFonts w:ascii="Times New Roman" w:hAnsi="Times New Roman" w:cs="Times New Roman"/>
          <w:b/>
          <w:sz w:val="24"/>
          <w:szCs w:val="24"/>
        </w:rPr>
        <w:t>Rok 201</w:t>
      </w:r>
      <w:r w:rsidR="00804A68">
        <w:rPr>
          <w:rFonts w:ascii="Times New Roman" w:hAnsi="Times New Roman" w:cs="Times New Roman"/>
          <w:b/>
          <w:sz w:val="24"/>
          <w:szCs w:val="24"/>
        </w:rPr>
        <w:t>8</w:t>
      </w:r>
      <w:r w:rsidRPr="009F3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BF3">
        <w:rPr>
          <w:rFonts w:ascii="Times New Roman" w:hAnsi="Times New Roman" w:cs="Times New Roman"/>
          <w:b/>
          <w:sz w:val="24"/>
          <w:szCs w:val="24"/>
        </w:rPr>
        <w:t>I. štvrťrok</w:t>
      </w:r>
      <w:r w:rsidRPr="009F3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646">
        <w:rPr>
          <w:rFonts w:ascii="Times New Roman" w:hAnsi="Times New Roman" w:cs="Times New Roman"/>
          <w:b/>
          <w:sz w:val="24"/>
          <w:szCs w:val="24"/>
        </w:rPr>
        <w:t>(</w:t>
      </w:r>
      <w:r w:rsidRPr="009F3F36">
        <w:rPr>
          <w:rFonts w:ascii="Times New Roman" w:hAnsi="Times New Roman" w:cs="Times New Roman"/>
          <w:b/>
          <w:sz w:val="24"/>
          <w:szCs w:val="24"/>
        </w:rPr>
        <w:t>odhad</w:t>
      </w:r>
      <w:r w:rsidR="00157646">
        <w:rPr>
          <w:rFonts w:ascii="Times New Roman" w:hAnsi="Times New Roman" w:cs="Times New Roman"/>
          <w:b/>
          <w:sz w:val="24"/>
          <w:szCs w:val="24"/>
        </w:rPr>
        <w:t>)</w:t>
      </w:r>
      <w:r w:rsidRPr="009F3F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3669" w:rsidRPr="00544BF3" w:rsidRDefault="00EA24D9" w:rsidP="00157646">
      <w:pPr>
        <w:rPr>
          <w:rFonts w:ascii="Times New Roman" w:hAnsi="Times New Roman" w:cs="Times New Roman"/>
          <w:sz w:val="24"/>
          <w:szCs w:val="24"/>
        </w:rPr>
      </w:pPr>
      <w:r w:rsidRPr="001A16B8">
        <w:rPr>
          <w:rFonts w:ascii="Times New Roman" w:hAnsi="Times New Roman" w:cs="Times New Roman"/>
          <w:sz w:val="24"/>
          <w:szCs w:val="24"/>
        </w:rPr>
        <w:t xml:space="preserve">Spotreba elektrickej </w:t>
      </w:r>
      <w:r w:rsidRPr="00544BF3">
        <w:rPr>
          <w:rFonts w:ascii="Times New Roman" w:hAnsi="Times New Roman" w:cs="Times New Roman"/>
          <w:sz w:val="24"/>
          <w:szCs w:val="24"/>
        </w:rPr>
        <w:t xml:space="preserve">energie </w:t>
      </w:r>
      <w:r w:rsidR="00B53669" w:rsidRPr="00544B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44BF3">
        <w:rPr>
          <w:rFonts w:ascii="Times New Roman" w:hAnsi="Times New Roman" w:cs="Times New Roman"/>
          <w:sz w:val="24"/>
          <w:szCs w:val="24"/>
        </w:rPr>
        <w:t xml:space="preserve">E = </w:t>
      </w:r>
      <w:r w:rsidR="00544BF3" w:rsidRPr="00544B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8030795 </w:t>
      </w:r>
      <w:r w:rsidRPr="00544BF3">
        <w:rPr>
          <w:rFonts w:ascii="Times New Roman" w:hAnsi="Times New Roman" w:cs="Times New Roman"/>
          <w:sz w:val="24"/>
          <w:szCs w:val="24"/>
        </w:rPr>
        <w:t xml:space="preserve"> MWH  </w:t>
      </w:r>
    </w:p>
    <w:p w:rsidR="00B53669" w:rsidRPr="00544BF3" w:rsidRDefault="00EA24D9" w:rsidP="00157646">
      <w:pPr>
        <w:rPr>
          <w:rFonts w:ascii="Times New Roman" w:hAnsi="Times New Roman" w:cs="Times New Roman"/>
          <w:sz w:val="24"/>
          <w:szCs w:val="24"/>
        </w:rPr>
      </w:pPr>
      <w:r w:rsidRPr="00544BF3">
        <w:rPr>
          <w:rFonts w:ascii="Times New Roman" w:hAnsi="Times New Roman" w:cs="Times New Roman"/>
          <w:sz w:val="24"/>
          <w:szCs w:val="24"/>
        </w:rPr>
        <w:t xml:space="preserve">tvorba HDP v </w:t>
      </w:r>
      <w:proofErr w:type="spellStart"/>
      <w:r w:rsidRPr="00544BF3">
        <w:rPr>
          <w:rFonts w:ascii="Times New Roman" w:hAnsi="Times New Roman" w:cs="Times New Roman"/>
          <w:sz w:val="24"/>
          <w:szCs w:val="24"/>
        </w:rPr>
        <w:t>s.c</w:t>
      </w:r>
      <w:proofErr w:type="spellEnd"/>
      <w:r w:rsidRPr="00544BF3">
        <w:rPr>
          <w:rFonts w:ascii="Times New Roman" w:hAnsi="Times New Roman" w:cs="Times New Roman"/>
          <w:sz w:val="24"/>
          <w:szCs w:val="24"/>
        </w:rPr>
        <w:t xml:space="preserve">. na 1 GWH v roku </w:t>
      </w:r>
      <w:r w:rsidR="00B53669" w:rsidRPr="00544BF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44BF3">
        <w:rPr>
          <w:rFonts w:ascii="Times New Roman" w:hAnsi="Times New Roman" w:cs="Times New Roman"/>
          <w:sz w:val="24"/>
          <w:szCs w:val="24"/>
        </w:rPr>
        <w:t xml:space="preserve">y = </w:t>
      </w:r>
      <w:r w:rsidR="00804A68" w:rsidRPr="00544B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2,4173109 </w:t>
      </w:r>
      <w:r w:rsidR="00040BB6" w:rsidRPr="00544B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544BF3">
        <w:rPr>
          <w:rFonts w:ascii="Times New Roman" w:hAnsi="Times New Roman" w:cs="Times New Roman"/>
          <w:sz w:val="24"/>
          <w:szCs w:val="24"/>
        </w:rPr>
        <w:t>mil.EUR</w:t>
      </w:r>
      <w:proofErr w:type="spellEnd"/>
      <w:r w:rsidRPr="00544BF3">
        <w:rPr>
          <w:rFonts w:ascii="Times New Roman" w:hAnsi="Times New Roman" w:cs="Times New Roman"/>
          <w:sz w:val="24"/>
          <w:szCs w:val="24"/>
        </w:rPr>
        <w:t xml:space="preserve">/GWH </w:t>
      </w:r>
      <w:r w:rsidR="00157646" w:rsidRPr="00544BF3">
        <w:rPr>
          <w:rFonts w:ascii="Times New Roman" w:hAnsi="Times New Roman" w:cs="Times New Roman"/>
          <w:sz w:val="24"/>
          <w:szCs w:val="24"/>
        </w:rPr>
        <w:t>(graf č.2)</w:t>
      </w:r>
    </w:p>
    <w:p w:rsidR="00B53669" w:rsidRPr="00544BF3" w:rsidRDefault="00EA24D9" w:rsidP="00157646">
      <w:pPr>
        <w:rPr>
          <w:rFonts w:ascii="Times New Roman" w:hAnsi="Times New Roman" w:cs="Times New Roman"/>
          <w:sz w:val="24"/>
          <w:szCs w:val="24"/>
        </w:rPr>
      </w:pPr>
      <w:r w:rsidRPr="00544BF3">
        <w:rPr>
          <w:rFonts w:ascii="Times New Roman" w:hAnsi="Times New Roman" w:cs="Times New Roman"/>
          <w:sz w:val="24"/>
          <w:szCs w:val="24"/>
        </w:rPr>
        <w:t xml:space="preserve">Hodnota HDP v </w:t>
      </w:r>
      <w:proofErr w:type="spellStart"/>
      <w:r w:rsidRPr="00544BF3">
        <w:rPr>
          <w:rFonts w:ascii="Times New Roman" w:hAnsi="Times New Roman" w:cs="Times New Roman"/>
          <w:sz w:val="24"/>
          <w:szCs w:val="24"/>
        </w:rPr>
        <w:t>s.c</w:t>
      </w:r>
      <w:proofErr w:type="spellEnd"/>
      <w:r w:rsidRPr="00544BF3">
        <w:rPr>
          <w:rFonts w:ascii="Times New Roman" w:hAnsi="Times New Roman" w:cs="Times New Roman"/>
          <w:sz w:val="24"/>
          <w:szCs w:val="24"/>
        </w:rPr>
        <w:t xml:space="preserve">. </w:t>
      </w:r>
      <w:r w:rsidR="00B53669" w:rsidRPr="00544B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544BF3">
        <w:rPr>
          <w:rFonts w:ascii="Times New Roman" w:hAnsi="Times New Roman" w:cs="Times New Roman"/>
          <w:sz w:val="24"/>
          <w:szCs w:val="24"/>
        </w:rPr>
        <w:t xml:space="preserve">HDP = </w:t>
      </w:r>
      <w:r w:rsidR="00544BF3" w:rsidRPr="00544B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19412,93 </w:t>
      </w:r>
      <w:r w:rsidR="00804A68" w:rsidRPr="00544B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="00F733C4" w:rsidRPr="00544B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mil.</w:t>
      </w:r>
      <w:r w:rsidRPr="00544BF3">
        <w:rPr>
          <w:rFonts w:ascii="Times New Roman" w:hAnsi="Times New Roman" w:cs="Times New Roman"/>
          <w:sz w:val="24"/>
          <w:szCs w:val="24"/>
        </w:rPr>
        <w:t xml:space="preserve">EUR </w:t>
      </w:r>
    </w:p>
    <w:p w:rsidR="00B53669" w:rsidRDefault="00EA24D9" w:rsidP="00173E80">
      <w:pPr>
        <w:rPr>
          <w:rFonts w:ascii="Times New Roman" w:hAnsi="Times New Roman" w:cs="Times New Roman"/>
          <w:sz w:val="24"/>
          <w:szCs w:val="24"/>
        </w:rPr>
      </w:pPr>
      <w:r w:rsidRPr="001A16B8">
        <w:rPr>
          <w:rFonts w:ascii="Times New Roman" w:hAnsi="Times New Roman" w:cs="Times New Roman"/>
          <w:sz w:val="24"/>
          <w:szCs w:val="24"/>
        </w:rPr>
        <w:t>Rozdiel priemernej mesačnej teploty</w:t>
      </w:r>
      <w:r w:rsidR="00B5366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04A68">
        <w:rPr>
          <w:rFonts w:ascii="Times New Roman" w:hAnsi="Times New Roman" w:cs="Times New Roman"/>
          <w:sz w:val="24"/>
          <w:szCs w:val="24"/>
        </w:rPr>
        <w:t>január</w:t>
      </w:r>
      <w:r w:rsidR="00040BB6">
        <w:rPr>
          <w:rFonts w:ascii="Times New Roman" w:hAnsi="Times New Roman" w:cs="Times New Roman"/>
          <w:sz w:val="24"/>
          <w:szCs w:val="24"/>
        </w:rPr>
        <w:t xml:space="preserve"> </w:t>
      </w:r>
      <w:r w:rsidR="00157646">
        <w:rPr>
          <w:rFonts w:ascii="Times New Roman" w:hAnsi="Times New Roman" w:cs="Times New Roman"/>
          <w:sz w:val="24"/>
          <w:szCs w:val="24"/>
        </w:rPr>
        <w:t xml:space="preserve"> </w:t>
      </w:r>
      <w:r w:rsidR="00040BB6">
        <w:rPr>
          <w:rFonts w:ascii="Times New Roman" w:hAnsi="Times New Roman" w:cs="Times New Roman"/>
          <w:sz w:val="24"/>
          <w:szCs w:val="24"/>
        </w:rPr>
        <w:t xml:space="preserve"> </w:t>
      </w:r>
      <w:r w:rsidR="00804A68">
        <w:rPr>
          <w:rFonts w:ascii="Times New Roman" w:hAnsi="Times New Roman" w:cs="Times New Roman"/>
          <w:sz w:val="24"/>
          <w:szCs w:val="24"/>
        </w:rPr>
        <w:t xml:space="preserve">  </w:t>
      </w:r>
      <w:r w:rsidR="00040BB6">
        <w:rPr>
          <w:rFonts w:ascii="Times New Roman" w:hAnsi="Times New Roman" w:cs="Times New Roman"/>
          <w:sz w:val="24"/>
          <w:szCs w:val="24"/>
        </w:rPr>
        <w:t xml:space="preserve"> </w:t>
      </w:r>
      <w:r w:rsidR="00157646">
        <w:rPr>
          <w:rFonts w:ascii="Times New Roman" w:hAnsi="Times New Roman" w:cs="Times New Roman"/>
          <w:sz w:val="24"/>
          <w:szCs w:val="24"/>
        </w:rPr>
        <w:t>201</w:t>
      </w:r>
      <w:r w:rsidR="00804A68">
        <w:rPr>
          <w:rFonts w:ascii="Times New Roman" w:hAnsi="Times New Roman" w:cs="Times New Roman"/>
          <w:sz w:val="24"/>
          <w:szCs w:val="24"/>
        </w:rPr>
        <w:t>8</w:t>
      </w:r>
      <w:r w:rsidRPr="001A16B8">
        <w:rPr>
          <w:rFonts w:ascii="Times New Roman" w:hAnsi="Times New Roman" w:cs="Times New Roman"/>
          <w:sz w:val="24"/>
          <w:szCs w:val="24"/>
        </w:rPr>
        <w:t xml:space="preserve"> </w:t>
      </w:r>
      <w:r w:rsidR="00157646">
        <w:rPr>
          <w:rFonts w:ascii="Times New Roman" w:hAnsi="Times New Roman" w:cs="Times New Roman"/>
          <w:sz w:val="24"/>
          <w:szCs w:val="24"/>
        </w:rPr>
        <w:t>– 201</w:t>
      </w:r>
      <w:r w:rsidR="00804A68">
        <w:rPr>
          <w:rFonts w:ascii="Times New Roman" w:hAnsi="Times New Roman" w:cs="Times New Roman"/>
          <w:sz w:val="24"/>
          <w:szCs w:val="24"/>
        </w:rPr>
        <w:t>7</w:t>
      </w:r>
      <w:r w:rsidR="00040BB6">
        <w:rPr>
          <w:rFonts w:ascii="Times New Roman" w:hAnsi="Times New Roman" w:cs="Times New Roman"/>
          <w:sz w:val="24"/>
          <w:szCs w:val="24"/>
        </w:rPr>
        <w:t xml:space="preserve">    </w:t>
      </w:r>
      <w:r w:rsidR="00F733C4">
        <w:rPr>
          <w:rFonts w:ascii="Times New Roman" w:hAnsi="Times New Roman" w:cs="Times New Roman"/>
          <w:sz w:val="24"/>
          <w:szCs w:val="24"/>
        </w:rPr>
        <w:t>1</w:t>
      </w:r>
      <w:r w:rsidR="00804A68">
        <w:rPr>
          <w:rFonts w:ascii="Times New Roman" w:hAnsi="Times New Roman" w:cs="Times New Roman"/>
          <w:sz w:val="24"/>
          <w:szCs w:val="24"/>
        </w:rPr>
        <w:t>0,7</w:t>
      </w:r>
      <w:r w:rsidR="00040BB6" w:rsidRPr="001A16B8">
        <w:rPr>
          <w:rFonts w:ascii="Times New Roman" w:hAnsi="Times New Roman" w:cs="Times New Roman"/>
          <w:sz w:val="24"/>
          <w:szCs w:val="24"/>
        </w:rPr>
        <w:t xml:space="preserve"> </w:t>
      </w:r>
      <w:r w:rsidR="00040BB6" w:rsidRPr="001A16B8">
        <w:rPr>
          <w:rFonts w:ascii="Cambria Math" w:hAnsi="Cambria Math" w:cs="Cambria Math"/>
          <w:sz w:val="24"/>
          <w:szCs w:val="24"/>
        </w:rPr>
        <w:t>⁰</w:t>
      </w:r>
      <w:r w:rsidR="00040BB6" w:rsidRPr="001A16B8">
        <w:rPr>
          <w:rFonts w:ascii="Times New Roman" w:hAnsi="Times New Roman" w:cs="Times New Roman"/>
          <w:sz w:val="24"/>
          <w:szCs w:val="24"/>
        </w:rPr>
        <w:t>C</w:t>
      </w:r>
      <w:r w:rsidR="00040BB6">
        <w:rPr>
          <w:rFonts w:ascii="Times New Roman" w:hAnsi="Times New Roman" w:cs="Times New Roman"/>
          <w:sz w:val="24"/>
          <w:szCs w:val="24"/>
        </w:rPr>
        <w:t xml:space="preserve">     </w:t>
      </w:r>
      <w:r w:rsidR="00040BB6" w:rsidRPr="001A16B8">
        <w:rPr>
          <w:rFonts w:ascii="Times New Roman" w:hAnsi="Times New Roman" w:cs="Times New Roman"/>
          <w:sz w:val="24"/>
          <w:szCs w:val="24"/>
        </w:rPr>
        <w:t>Korekcia</w:t>
      </w:r>
      <w:r w:rsidR="00F733C4">
        <w:rPr>
          <w:rFonts w:ascii="Times New Roman" w:hAnsi="Times New Roman" w:cs="Times New Roman"/>
          <w:sz w:val="24"/>
          <w:szCs w:val="24"/>
        </w:rPr>
        <w:t xml:space="preserve">   </w:t>
      </w:r>
      <w:r w:rsidR="00173E80" w:rsidRPr="00173E80">
        <w:rPr>
          <w:rFonts w:ascii="Arial" w:eastAsia="Times New Roman" w:hAnsi="Arial" w:cs="Arial"/>
          <w:sz w:val="20"/>
          <w:szCs w:val="20"/>
          <w:lang w:val="cs-CZ" w:eastAsia="cs-CZ"/>
        </w:rPr>
        <w:t>280,58</w:t>
      </w:r>
      <w:r w:rsidR="00173E80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proofErr w:type="spellStart"/>
      <w:r w:rsidR="00173E80">
        <w:rPr>
          <w:rFonts w:ascii="Arial" w:eastAsia="Times New Roman" w:hAnsi="Arial" w:cs="Arial"/>
          <w:sz w:val="20"/>
          <w:szCs w:val="20"/>
          <w:lang w:val="cs-CZ" w:eastAsia="cs-CZ"/>
        </w:rPr>
        <w:t>mil.EUR</w:t>
      </w:r>
      <w:proofErr w:type="spellEnd"/>
      <w:r w:rsidR="00173E80">
        <w:rPr>
          <w:rFonts w:ascii="Arial" w:eastAsia="Times New Roman" w:hAnsi="Arial" w:cs="Arial"/>
          <w:sz w:val="20"/>
          <w:szCs w:val="20"/>
          <w:lang w:val="cs-CZ" w:eastAsia="cs-CZ"/>
        </w:rPr>
        <w:br/>
      </w:r>
      <w:r w:rsidRPr="001A16B8">
        <w:rPr>
          <w:rFonts w:ascii="Times New Roman" w:hAnsi="Times New Roman" w:cs="Times New Roman"/>
          <w:sz w:val="24"/>
          <w:szCs w:val="24"/>
        </w:rPr>
        <w:t xml:space="preserve">Korekcia </w:t>
      </w:r>
      <w:r w:rsidR="00B536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04A68">
        <w:rPr>
          <w:rFonts w:ascii="Times New Roman" w:hAnsi="Times New Roman" w:cs="Times New Roman"/>
          <w:sz w:val="24"/>
          <w:szCs w:val="24"/>
        </w:rPr>
        <w:t xml:space="preserve">február    </w:t>
      </w:r>
      <w:r w:rsidR="00040BB6">
        <w:rPr>
          <w:rFonts w:ascii="Times New Roman" w:hAnsi="Times New Roman" w:cs="Times New Roman"/>
          <w:sz w:val="24"/>
          <w:szCs w:val="24"/>
        </w:rPr>
        <w:t xml:space="preserve"> 201</w:t>
      </w:r>
      <w:r w:rsidR="00804A68">
        <w:rPr>
          <w:rFonts w:ascii="Times New Roman" w:hAnsi="Times New Roman" w:cs="Times New Roman"/>
          <w:sz w:val="24"/>
          <w:szCs w:val="24"/>
        </w:rPr>
        <w:t xml:space="preserve">8 </w:t>
      </w:r>
      <w:r w:rsidR="00040BB6">
        <w:rPr>
          <w:rFonts w:ascii="Times New Roman" w:hAnsi="Times New Roman" w:cs="Times New Roman"/>
          <w:sz w:val="24"/>
          <w:szCs w:val="24"/>
        </w:rPr>
        <w:t>- 201</w:t>
      </w:r>
      <w:r w:rsidR="00804A68">
        <w:rPr>
          <w:rFonts w:ascii="Times New Roman" w:hAnsi="Times New Roman" w:cs="Times New Roman"/>
          <w:sz w:val="24"/>
          <w:szCs w:val="24"/>
        </w:rPr>
        <w:t>7</w:t>
      </w:r>
      <w:r w:rsidR="002B5F66">
        <w:rPr>
          <w:rFonts w:ascii="Times New Roman" w:hAnsi="Times New Roman" w:cs="Times New Roman"/>
          <w:sz w:val="24"/>
          <w:szCs w:val="24"/>
        </w:rPr>
        <w:t xml:space="preserve">  </w:t>
      </w:r>
      <w:r w:rsidR="00040BB6">
        <w:rPr>
          <w:rFonts w:ascii="Times New Roman" w:hAnsi="Times New Roman" w:cs="Times New Roman"/>
          <w:sz w:val="24"/>
          <w:szCs w:val="24"/>
        </w:rPr>
        <w:t xml:space="preserve">   </w:t>
      </w:r>
      <w:r w:rsidR="00804A68">
        <w:rPr>
          <w:rFonts w:ascii="Times New Roman" w:hAnsi="Times New Roman" w:cs="Times New Roman"/>
          <w:sz w:val="24"/>
          <w:szCs w:val="24"/>
        </w:rPr>
        <w:t>-3,4</w:t>
      </w:r>
      <w:r w:rsidR="00040BB6" w:rsidRPr="001A16B8">
        <w:rPr>
          <w:rFonts w:ascii="Times New Roman" w:hAnsi="Times New Roman" w:cs="Times New Roman"/>
          <w:sz w:val="24"/>
          <w:szCs w:val="24"/>
        </w:rPr>
        <w:t xml:space="preserve"> </w:t>
      </w:r>
      <w:r w:rsidR="00040BB6" w:rsidRPr="001A16B8">
        <w:rPr>
          <w:rFonts w:ascii="Cambria Math" w:hAnsi="Cambria Math" w:cs="Cambria Math"/>
          <w:sz w:val="24"/>
          <w:szCs w:val="24"/>
        </w:rPr>
        <w:t>⁰</w:t>
      </w:r>
      <w:r w:rsidR="00040BB6" w:rsidRPr="001A16B8">
        <w:rPr>
          <w:rFonts w:ascii="Times New Roman" w:hAnsi="Times New Roman" w:cs="Times New Roman"/>
          <w:sz w:val="24"/>
          <w:szCs w:val="24"/>
        </w:rPr>
        <w:t>C</w:t>
      </w:r>
      <w:r w:rsidR="002B5F66">
        <w:rPr>
          <w:rFonts w:ascii="Times New Roman" w:hAnsi="Times New Roman" w:cs="Times New Roman"/>
          <w:sz w:val="24"/>
          <w:szCs w:val="24"/>
        </w:rPr>
        <w:t xml:space="preserve">    </w:t>
      </w:r>
      <w:r w:rsidR="00040BB6">
        <w:rPr>
          <w:rFonts w:ascii="Times New Roman" w:hAnsi="Times New Roman" w:cs="Times New Roman"/>
          <w:sz w:val="24"/>
          <w:szCs w:val="24"/>
        </w:rPr>
        <w:t xml:space="preserve"> </w:t>
      </w:r>
      <w:r w:rsidR="00173E80">
        <w:rPr>
          <w:rFonts w:ascii="Times New Roman" w:hAnsi="Times New Roman" w:cs="Times New Roman"/>
          <w:sz w:val="24"/>
          <w:szCs w:val="24"/>
        </w:rPr>
        <w:t xml:space="preserve"> </w:t>
      </w:r>
      <w:r w:rsidR="00F733C4">
        <w:rPr>
          <w:rFonts w:ascii="Times New Roman" w:hAnsi="Times New Roman" w:cs="Times New Roman"/>
          <w:sz w:val="24"/>
          <w:szCs w:val="24"/>
        </w:rPr>
        <w:t xml:space="preserve">Korekcia    </w:t>
      </w:r>
      <w:r w:rsidR="00396D7E">
        <w:rPr>
          <w:rFonts w:ascii="Times New Roman" w:hAnsi="Times New Roman" w:cs="Times New Roman"/>
          <w:sz w:val="24"/>
          <w:szCs w:val="24"/>
        </w:rPr>
        <w:t xml:space="preserve">-92,4 </w:t>
      </w:r>
      <w:proofErr w:type="spellStart"/>
      <w:r w:rsidR="00396D7E">
        <w:rPr>
          <w:rFonts w:ascii="Times New Roman" w:hAnsi="Times New Roman" w:cs="Times New Roman"/>
          <w:sz w:val="24"/>
          <w:szCs w:val="24"/>
        </w:rPr>
        <w:t>mil.EUR</w:t>
      </w:r>
      <w:proofErr w:type="spellEnd"/>
      <w:r w:rsidR="00544BF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marec       2018 – 2017    -5,8 </w:t>
      </w:r>
      <w:r w:rsidR="00544BF3" w:rsidRPr="001A16B8">
        <w:rPr>
          <w:rFonts w:ascii="Cambria Math" w:hAnsi="Cambria Math" w:cs="Cambria Math"/>
          <w:sz w:val="24"/>
          <w:szCs w:val="24"/>
        </w:rPr>
        <w:t>⁰</w:t>
      </w:r>
      <w:r w:rsidR="00544BF3" w:rsidRPr="001A16B8">
        <w:rPr>
          <w:rFonts w:ascii="Times New Roman" w:hAnsi="Times New Roman" w:cs="Times New Roman"/>
          <w:sz w:val="24"/>
          <w:szCs w:val="24"/>
        </w:rPr>
        <w:t>C</w:t>
      </w:r>
      <w:r w:rsidR="00544BF3">
        <w:rPr>
          <w:rFonts w:ascii="Times New Roman" w:hAnsi="Times New Roman" w:cs="Times New Roman"/>
          <w:sz w:val="24"/>
          <w:szCs w:val="24"/>
        </w:rPr>
        <w:t xml:space="preserve">      korekcia    </w:t>
      </w:r>
      <w:r w:rsidR="00544BF3" w:rsidRPr="00544BF3">
        <w:rPr>
          <w:rFonts w:ascii="Times New Roman" w:hAnsi="Times New Roman" w:cs="Times New Roman"/>
          <w:sz w:val="24"/>
          <w:szCs w:val="24"/>
        </w:rPr>
        <w:t>-176,1</w:t>
      </w:r>
      <w:r w:rsidR="0054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BF3">
        <w:rPr>
          <w:rFonts w:ascii="Times New Roman" w:hAnsi="Times New Roman" w:cs="Times New Roman"/>
          <w:sz w:val="24"/>
          <w:szCs w:val="24"/>
        </w:rPr>
        <w:t>mil.EUR</w:t>
      </w:r>
      <w:proofErr w:type="spellEnd"/>
    </w:p>
    <w:p w:rsidR="00040BB6" w:rsidRDefault="00040BB6" w:rsidP="009F3F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46E7" w:rsidRPr="00F246E7" w:rsidRDefault="00EA24D9" w:rsidP="00F246E7">
      <w:pPr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9F3F36">
        <w:rPr>
          <w:rFonts w:ascii="Times New Roman" w:hAnsi="Times New Roman" w:cs="Times New Roman"/>
          <w:b/>
          <w:sz w:val="24"/>
          <w:szCs w:val="24"/>
        </w:rPr>
        <w:t xml:space="preserve">Odhadovaná hodnota HDP </w:t>
      </w:r>
      <w:proofErr w:type="spellStart"/>
      <w:r w:rsidRPr="009F3F36">
        <w:rPr>
          <w:rFonts w:ascii="Times New Roman" w:hAnsi="Times New Roman" w:cs="Times New Roman"/>
          <w:b/>
          <w:sz w:val="24"/>
          <w:szCs w:val="24"/>
        </w:rPr>
        <w:t>s.c</w:t>
      </w:r>
      <w:proofErr w:type="spellEnd"/>
      <w:r w:rsidRPr="009F3F36">
        <w:rPr>
          <w:rFonts w:ascii="Times New Roman" w:hAnsi="Times New Roman" w:cs="Times New Roman"/>
          <w:b/>
          <w:sz w:val="24"/>
          <w:szCs w:val="24"/>
        </w:rPr>
        <w:t>.</w:t>
      </w:r>
      <w:r w:rsidR="00173E80">
        <w:rPr>
          <w:rFonts w:ascii="Times New Roman" w:hAnsi="Times New Roman" w:cs="Times New Roman"/>
          <w:b/>
          <w:sz w:val="24"/>
          <w:szCs w:val="24"/>
        </w:rPr>
        <w:t xml:space="preserve"> za január a február 2018</w:t>
      </w:r>
      <w:r w:rsidR="009F3F36" w:rsidRPr="009F3F3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44BF3" w:rsidRPr="00544BF3">
        <w:rPr>
          <w:rFonts w:ascii="Times New Roman" w:hAnsi="Times New Roman" w:cs="Times New Roman"/>
          <w:b/>
          <w:sz w:val="24"/>
          <w:szCs w:val="24"/>
        </w:rPr>
        <w:t>18968,33</w:t>
      </w:r>
      <w:r w:rsidR="00544B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F66" w:rsidRPr="0015764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9F3F36">
        <w:rPr>
          <w:rFonts w:ascii="Times New Roman" w:hAnsi="Times New Roman" w:cs="Times New Roman"/>
          <w:b/>
          <w:sz w:val="24"/>
          <w:szCs w:val="24"/>
        </w:rPr>
        <w:t>mil.EUR</w:t>
      </w:r>
      <w:proofErr w:type="spellEnd"/>
      <w:r w:rsidRPr="009F3F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24D9" w:rsidRPr="009F3F36" w:rsidRDefault="00F733C4" w:rsidP="009F3F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Odhadovaný m</w:t>
      </w:r>
      <w:r w:rsidR="00EA24D9" w:rsidRPr="009F3F36">
        <w:rPr>
          <w:rFonts w:ascii="Times New Roman" w:hAnsi="Times New Roman" w:cs="Times New Roman"/>
          <w:b/>
          <w:sz w:val="24"/>
          <w:szCs w:val="24"/>
        </w:rPr>
        <w:t xml:space="preserve">edziročný rast </w:t>
      </w:r>
      <w:r w:rsidR="009F3F36" w:rsidRPr="009F3F3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3F36" w:rsidRPr="009F3F3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544BF3">
        <w:rPr>
          <w:rFonts w:ascii="Times New Roman" w:hAnsi="Times New Roman" w:cs="Times New Roman"/>
          <w:b/>
          <w:sz w:val="24"/>
          <w:szCs w:val="24"/>
        </w:rPr>
        <w:t>1,46</w:t>
      </w:r>
      <w:bookmarkStart w:id="0" w:name="_GoBack"/>
      <w:bookmarkEnd w:id="0"/>
      <w:r w:rsidR="00EA24D9" w:rsidRPr="009F3F36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sectPr w:rsidR="00EA24D9" w:rsidRPr="009F3F36" w:rsidSect="00C633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01816"/>
    <w:multiLevelType w:val="hybridMultilevel"/>
    <w:tmpl w:val="DA8E1B66"/>
    <w:lvl w:ilvl="0" w:tplc="08423A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C0"/>
    <w:rsid w:val="000149B5"/>
    <w:rsid w:val="00035121"/>
    <w:rsid w:val="00040BB6"/>
    <w:rsid w:val="00042F87"/>
    <w:rsid w:val="00087958"/>
    <w:rsid w:val="00094C7E"/>
    <w:rsid w:val="000F50AB"/>
    <w:rsid w:val="00125FD4"/>
    <w:rsid w:val="00157646"/>
    <w:rsid w:val="001621A7"/>
    <w:rsid w:val="001631B5"/>
    <w:rsid w:val="00173570"/>
    <w:rsid w:val="00173E80"/>
    <w:rsid w:val="001A16B8"/>
    <w:rsid w:val="001B64C5"/>
    <w:rsid w:val="001C7A78"/>
    <w:rsid w:val="001F7AFD"/>
    <w:rsid w:val="00233A32"/>
    <w:rsid w:val="002577E6"/>
    <w:rsid w:val="0026655C"/>
    <w:rsid w:val="002B5F66"/>
    <w:rsid w:val="002C50CF"/>
    <w:rsid w:val="002F030C"/>
    <w:rsid w:val="00307895"/>
    <w:rsid w:val="00332554"/>
    <w:rsid w:val="00396D7E"/>
    <w:rsid w:val="003A3DD9"/>
    <w:rsid w:val="003C2CAA"/>
    <w:rsid w:val="003C757B"/>
    <w:rsid w:val="003D38E7"/>
    <w:rsid w:val="003E3FDB"/>
    <w:rsid w:val="003F2882"/>
    <w:rsid w:val="003F5C03"/>
    <w:rsid w:val="00400704"/>
    <w:rsid w:val="004179F4"/>
    <w:rsid w:val="00424A1C"/>
    <w:rsid w:val="00436B76"/>
    <w:rsid w:val="004470F3"/>
    <w:rsid w:val="004B4045"/>
    <w:rsid w:val="005131A6"/>
    <w:rsid w:val="00514CB5"/>
    <w:rsid w:val="00535B08"/>
    <w:rsid w:val="00544BF3"/>
    <w:rsid w:val="005676A3"/>
    <w:rsid w:val="00574433"/>
    <w:rsid w:val="00596090"/>
    <w:rsid w:val="005B16E9"/>
    <w:rsid w:val="005C1696"/>
    <w:rsid w:val="005F03D4"/>
    <w:rsid w:val="006073CB"/>
    <w:rsid w:val="006338EF"/>
    <w:rsid w:val="0063782B"/>
    <w:rsid w:val="00645406"/>
    <w:rsid w:val="00645DBD"/>
    <w:rsid w:val="0065442D"/>
    <w:rsid w:val="00662A9F"/>
    <w:rsid w:val="006903CC"/>
    <w:rsid w:val="006A4AF3"/>
    <w:rsid w:val="006B0B8D"/>
    <w:rsid w:val="006B0E99"/>
    <w:rsid w:val="006B1E1D"/>
    <w:rsid w:val="006C6118"/>
    <w:rsid w:val="006D4177"/>
    <w:rsid w:val="00731057"/>
    <w:rsid w:val="00746D5B"/>
    <w:rsid w:val="00790D17"/>
    <w:rsid w:val="007E7A84"/>
    <w:rsid w:val="00804A68"/>
    <w:rsid w:val="00811E20"/>
    <w:rsid w:val="00845F2F"/>
    <w:rsid w:val="00854622"/>
    <w:rsid w:val="008A0933"/>
    <w:rsid w:val="008B56AD"/>
    <w:rsid w:val="008F3B70"/>
    <w:rsid w:val="008F4B73"/>
    <w:rsid w:val="00947EB8"/>
    <w:rsid w:val="00991197"/>
    <w:rsid w:val="00991315"/>
    <w:rsid w:val="009C79D5"/>
    <w:rsid w:val="009F3F36"/>
    <w:rsid w:val="00A24B45"/>
    <w:rsid w:val="00A30517"/>
    <w:rsid w:val="00A34D77"/>
    <w:rsid w:val="00A40D5F"/>
    <w:rsid w:val="00A51F4D"/>
    <w:rsid w:val="00AB05FC"/>
    <w:rsid w:val="00AC2612"/>
    <w:rsid w:val="00AC7ABC"/>
    <w:rsid w:val="00AF3C00"/>
    <w:rsid w:val="00B06251"/>
    <w:rsid w:val="00B17272"/>
    <w:rsid w:val="00B464EF"/>
    <w:rsid w:val="00B53669"/>
    <w:rsid w:val="00B67967"/>
    <w:rsid w:val="00B7696A"/>
    <w:rsid w:val="00BF00C1"/>
    <w:rsid w:val="00C03CAA"/>
    <w:rsid w:val="00C153C9"/>
    <w:rsid w:val="00C3239D"/>
    <w:rsid w:val="00C413F0"/>
    <w:rsid w:val="00C633C0"/>
    <w:rsid w:val="00C743F7"/>
    <w:rsid w:val="00CA0347"/>
    <w:rsid w:val="00CB2730"/>
    <w:rsid w:val="00CD67D0"/>
    <w:rsid w:val="00D052A0"/>
    <w:rsid w:val="00D3642E"/>
    <w:rsid w:val="00D40687"/>
    <w:rsid w:val="00D52896"/>
    <w:rsid w:val="00DF6128"/>
    <w:rsid w:val="00E449BE"/>
    <w:rsid w:val="00E51B39"/>
    <w:rsid w:val="00E67A4A"/>
    <w:rsid w:val="00E844A0"/>
    <w:rsid w:val="00E871A9"/>
    <w:rsid w:val="00EA24D9"/>
    <w:rsid w:val="00EB655D"/>
    <w:rsid w:val="00EC3CEF"/>
    <w:rsid w:val="00ED4E42"/>
    <w:rsid w:val="00F246E7"/>
    <w:rsid w:val="00F32DFF"/>
    <w:rsid w:val="00F733C4"/>
    <w:rsid w:val="00F77657"/>
    <w:rsid w:val="00FC3F99"/>
    <w:rsid w:val="00F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6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33C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24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6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33C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24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peterond\odhady\hdp%20marec%202018%20ceny%202010%20odhad%20aktualizovane%20udaje%20hdp%20zo%20SU.xlsm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peterond\odhady\hdp%20februar%202018%20ceny%202010%20odhad%20aktualizovane%20udaje%20hdp%20zo%20SU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k-SK"/>
              <a:t> Hodnoty rastu HDP s.c. (2010) v % po mesiacoch kumulatívne za  štvrťrok a modelový odhad na 2018 na základe spotreby el. energie</a:t>
            </a:r>
          </a:p>
        </c:rich>
      </c:tx>
      <c:layout>
        <c:manualLayout>
          <c:xMode val="edge"/>
          <c:yMode val="edge"/>
          <c:x val="0.13143647953096774"/>
          <c:y val="2.698415987475249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829270713275313"/>
          <c:y val="0.18401937046004843"/>
          <c:w val="0.78184385300730042"/>
          <c:h val="0.5230024213075060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Hárok12!$E$160</c:f>
              <c:strCache>
                <c:ptCount val="1"/>
                <c:pt idx="0">
                  <c:v>2013 HDP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Hárok12!$B$161:$B$172</c:f>
              <c:strCache>
                <c:ptCount val="12"/>
                <c:pt idx="0">
                  <c:v>január</c:v>
                </c:pt>
                <c:pt idx="1">
                  <c:v>I. +II.</c:v>
                </c:pt>
                <c:pt idx="2">
                  <c:v>1. Q </c:v>
                </c:pt>
                <c:pt idx="3">
                  <c:v>apríl</c:v>
                </c:pt>
                <c:pt idx="4">
                  <c:v>IV. + V.</c:v>
                </c:pt>
                <c:pt idx="5">
                  <c:v>2. Q</c:v>
                </c:pt>
                <c:pt idx="6">
                  <c:v>júl </c:v>
                </c:pt>
                <c:pt idx="7">
                  <c:v>VII. +VIII.</c:v>
                </c:pt>
                <c:pt idx="8">
                  <c:v>3. Q</c:v>
                </c:pt>
                <c:pt idx="9">
                  <c:v>október</c:v>
                </c:pt>
                <c:pt idx="10">
                  <c:v>X. + XI.</c:v>
                </c:pt>
                <c:pt idx="11">
                  <c:v>4. Q</c:v>
                </c:pt>
              </c:strCache>
            </c:strRef>
          </c:cat>
          <c:val>
            <c:numRef>
              <c:f>Hárok12!$E$161:$E$172</c:f>
              <c:numCache>
                <c:formatCode>0.00</c:formatCode>
                <c:ptCount val="12"/>
                <c:pt idx="0">
                  <c:v>103.89821249256566</c:v>
                </c:pt>
                <c:pt idx="1">
                  <c:v>99.216972393802507</c:v>
                </c:pt>
                <c:pt idx="2">
                  <c:v>101.08754126421327</c:v>
                </c:pt>
                <c:pt idx="3">
                  <c:v>102.50270453404151</c:v>
                </c:pt>
                <c:pt idx="4">
                  <c:v>101.38463254368114</c:v>
                </c:pt>
                <c:pt idx="5">
                  <c:v>101.25610330102815</c:v>
                </c:pt>
                <c:pt idx="6">
                  <c:v>100.23140710535108</c:v>
                </c:pt>
                <c:pt idx="7">
                  <c:v>101.01546197348563</c:v>
                </c:pt>
                <c:pt idx="8">
                  <c:v>101.48480811379947</c:v>
                </c:pt>
                <c:pt idx="9">
                  <c:v>102.66200501682373</c:v>
                </c:pt>
                <c:pt idx="10">
                  <c:v>102.70683794297746</c:v>
                </c:pt>
                <c:pt idx="11">
                  <c:v>102.09301809548114</c:v>
                </c:pt>
              </c:numCache>
            </c:numRef>
          </c:val>
        </c:ser>
        <c:ser>
          <c:idx val="0"/>
          <c:order val="1"/>
          <c:tx>
            <c:strRef>
              <c:f>Hárok12!$F$160</c:f>
              <c:strCache>
                <c:ptCount val="1"/>
                <c:pt idx="0">
                  <c:v>2014 HDP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Hárok12!$B$161:$B$172</c:f>
              <c:strCache>
                <c:ptCount val="12"/>
                <c:pt idx="0">
                  <c:v>január</c:v>
                </c:pt>
                <c:pt idx="1">
                  <c:v>I. +II.</c:v>
                </c:pt>
                <c:pt idx="2">
                  <c:v>1. Q </c:v>
                </c:pt>
                <c:pt idx="3">
                  <c:v>apríl</c:v>
                </c:pt>
                <c:pt idx="4">
                  <c:v>IV. + V.</c:v>
                </c:pt>
                <c:pt idx="5">
                  <c:v>2. Q</c:v>
                </c:pt>
                <c:pt idx="6">
                  <c:v>júl </c:v>
                </c:pt>
                <c:pt idx="7">
                  <c:v>VII. +VIII.</c:v>
                </c:pt>
                <c:pt idx="8">
                  <c:v>3. Q</c:v>
                </c:pt>
                <c:pt idx="9">
                  <c:v>október</c:v>
                </c:pt>
                <c:pt idx="10">
                  <c:v>X. + XI.</c:v>
                </c:pt>
                <c:pt idx="11">
                  <c:v>4. Q</c:v>
                </c:pt>
              </c:strCache>
            </c:strRef>
          </c:cat>
          <c:val>
            <c:numRef>
              <c:f>Hárok12!$F$161:$F$172</c:f>
              <c:numCache>
                <c:formatCode>0.00</c:formatCode>
                <c:ptCount val="12"/>
                <c:pt idx="0">
                  <c:v>102.09629084131305</c:v>
                </c:pt>
                <c:pt idx="1">
                  <c:v>102.22086955971656</c:v>
                </c:pt>
                <c:pt idx="2">
                  <c:v>101.49069600082244</c:v>
                </c:pt>
                <c:pt idx="3">
                  <c:v>100.3954198514482</c:v>
                </c:pt>
                <c:pt idx="4">
                  <c:v>101.26912099836775</c:v>
                </c:pt>
                <c:pt idx="5">
                  <c:v>101.76193196455974</c:v>
                </c:pt>
                <c:pt idx="6">
                  <c:v>104.320075461431</c:v>
                </c:pt>
                <c:pt idx="7">
                  <c:v>101.14654000775671</c:v>
                </c:pt>
                <c:pt idx="8">
                  <c:v>101.55571788519767</c:v>
                </c:pt>
                <c:pt idx="9">
                  <c:v>101.14049537545971</c:v>
                </c:pt>
                <c:pt idx="10">
                  <c:v>101.70652144965371</c:v>
                </c:pt>
                <c:pt idx="11">
                  <c:v>101.62139546509164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295040"/>
        <c:axId val="40300928"/>
      </c:barChart>
      <c:lineChart>
        <c:grouping val="standard"/>
        <c:varyColors val="0"/>
        <c:ser>
          <c:idx val="2"/>
          <c:order val="2"/>
          <c:tx>
            <c:strRef>
              <c:f>Hárok12!$G$160</c:f>
              <c:strCache>
                <c:ptCount val="1"/>
                <c:pt idx="0">
                  <c:v>2015 HDP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>
                  <a:alpha val="45000"/>
                </a:srgbClr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Hárok12!$B$161:$B$172</c:f>
              <c:strCache>
                <c:ptCount val="12"/>
                <c:pt idx="0">
                  <c:v>január</c:v>
                </c:pt>
                <c:pt idx="1">
                  <c:v>I. +II.</c:v>
                </c:pt>
                <c:pt idx="2">
                  <c:v>1. Q </c:v>
                </c:pt>
                <c:pt idx="3">
                  <c:v>apríl</c:v>
                </c:pt>
                <c:pt idx="4">
                  <c:v>IV. + V.</c:v>
                </c:pt>
                <c:pt idx="5">
                  <c:v>2. Q</c:v>
                </c:pt>
                <c:pt idx="6">
                  <c:v>júl </c:v>
                </c:pt>
                <c:pt idx="7">
                  <c:v>VII. +VIII.</c:v>
                </c:pt>
                <c:pt idx="8">
                  <c:v>3. Q</c:v>
                </c:pt>
                <c:pt idx="9">
                  <c:v>október</c:v>
                </c:pt>
                <c:pt idx="10">
                  <c:v>X. + XI.</c:v>
                </c:pt>
                <c:pt idx="11">
                  <c:v>4. Q</c:v>
                </c:pt>
              </c:strCache>
            </c:strRef>
          </c:cat>
          <c:val>
            <c:numRef>
              <c:f>Hárok12!$G$161:$G$172</c:f>
              <c:numCache>
                <c:formatCode>0.00</c:formatCode>
                <c:ptCount val="12"/>
                <c:pt idx="0">
                  <c:v>101.5267029087566</c:v>
                </c:pt>
                <c:pt idx="1">
                  <c:v>102.38593211139737</c:v>
                </c:pt>
                <c:pt idx="2">
                  <c:v>103.35970831249158</c:v>
                </c:pt>
                <c:pt idx="3">
                  <c:v>104.83609901847282</c:v>
                </c:pt>
                <c:pt idx="4">
                  <c:v>104.32148133114707</c:v>
                </c:pt>
                <c:pt idx="5">
                  <c:v>103.80973714835193</c:v>
                </c:pt>
                <c:pt idx="6">
                  <c:v>104.14686232453217</c:v>
                </c:pt>
                <c:pt idx="7">
                  <c:v>105.36586668797024</c:v>
                </c:pt>
                <c:pt idx="8">
                  <c:v>104.07400331496849</c:v>
                </c:pt>
                <c:pt idx="9">
                  <c:v>105.92723936876062</c:v>
                </c:pt>
                <c:pt idx="10">
                  <c:v>105.3989258758743</c:v>
                </c:pt>
                <c:pt idx="11">
                  <c:v>104.78709629684435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Hárok12!$H$160</c:f>
              <c:strCache>
                <c:ptCount val="1"/>
                <c:pt idx="0">
                  <c:v>2016 HDP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8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strRef>
              <c:f>Hárok12!$B$161:$B$172</c:f>
              <c:strCache>
                <c:ptCount val="12"/>
                <c:pt idx="0">
                  <c:v>január</c:v>
                </c:pt>
                <c:pt idx="1">
                  <c:v>I. +II.</c:v>
                </c:pt>
                <c:pt idx="2">
                  <c:v>1. Q </c:v>
                </c:pt>
                <c:pt idx="3">
                  <c:v>apríl</c:v>
                </c:pt>
                <c:pt idx="4">
                  <c:v>IV. + V.</c:v>
                </c:pt>
                <c:pt idx="5">
                  <c:v>2. Q</c:v>
                </c:pt>
                <c:pt idx="6">
                  <c:v>júl </c:v>
                </c:pt>
                <c:pt idx="7">
                  <c:v>VII. +VIII.</c:v>
                </c:pt>
                <c:pt idx="8">
                  <c:v>3. Q</c:v>
                </c:pt>
                <c:pt idx="9">
                  <c:v>október</c:v>
                </c:pt>
                <c:pt idx="10">
                  <c:v>X. + XI.</c:v>
                </c:pt>
                <c:pt idx="11">
                  <c:v>4. Q</c:v>
                </c:pt>
              </c:strCache>
            </c:strRef>
          </c:cat>
          <c:val>
            <c:numRef>
              <c:f>Hárok12!$H$161:$H$172</c:f>
              <c:numCache>
                <c:formatCode>0.00</c:formatCode>
                <c:ptCount val="12"/>
                <c:pt idx="0">
                  <c:v>105.86111612978853</c:v>
                </c:pt>
                <c:pt idx="1">
                  <c:v>105.28152425570742</c:v>
                </c:pt>
                <c:pt idx="2">
                  <c:v>103.69408201599907</c:v>
                </c:pt>
                <c:pt idx="3">
                  <c:v>102.3600563029796</c:v>
                </c:pt>
                <c:pt idx="4">
                  <c:v>103.28050304634502</c:v>
                </c:pt>
                <c:pt idx="5">
                  <c:v>103.85202416791223</c:v>
                </c:pt>
                <c:pt idx="6">
                  <c:v>100.87098451706808</c:v>
                </c:pt>
                <c:pt idx="7">
                  <c:v>102.00709989805613</c:v>
                </c:pt>
                <c:pt idx="8">
                  <c:v>102.69204244953039</c:v>
                </c:pt>
                <c:pt idx="9">
                  <c:v>99.442043258601089</c:v>
                </c:pt>
                <c:pt idx="10">
                  <c:v>101.15789099124424</c:v>
                </c:pt>
                <c:pt idx="11">
                  <c:v>103.1542050182827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Hárok12!$I$160</c:f>
              <c:strCache>
                <c:ptCount val="1"/>
                <c:pt idx="0">
                  <c:v>2017 HDP</c:v>
                </c:pt>
              </c:strCache>
            </c:strRef>
          </c:tx>
          <c:marker>
            <c:symbol val="star"/>
            <c:size val="10"/>
          </c:marker>
          <c:cat>
            <c:strRef>
              <c:f>Hárok12!$B$161:$B$172</c:f>
              <c:strCache>
                <c:ptCount val="12"/>
                <c:pt idx="0">
                  <c:v>január</c:v>
                </c:pt>
                <c:pt idx="1">
                  <c:v>I. +II.</c:v>
                </c:pt>
                <c:pt idx="2">
                  <c:v>1. Q </c:v>
                </c:pt>
                <c:pt idx="3">
                  <c:v>apríl</c:v>
                </c:pt>
                <c:pt idx="4">
                  <c:v>IV. + V.</c:v>
                </c:pt>
                <c:pt idx="5">
                  <c:v>2. Q</c:v>
                </c:pt>
                <c:pt idx="6">
                  <c:v>júl </c:v>
                </c:pt>
                <c:pt idx="7">
                  <c:v>VII. +VIII.</c:v>
                </c:pt>
                <c:pt idx="8">
                  <c:v>3. Q</c:v>
                </c:pt>
                <c:pt idx="9">
                  <c:v>október</c:v>
                </c:pt>
                <c:pt idx="10">
                  <c:v>X. + XI.</c:v>
                </c:pt>
                <c:pt idx="11">
                  <c:v>4. Q</c:v>
                </c:pt>
              </c:strCache>
            </c:strRef>
          </c:cat>
          <c:val>
            <c:numRef>
              <c:f>Hárok12!$I$161:$I$172</c:f>
              <c:numCache>
                <c:formatCode>0.00</c:formatCode>
                <c:ptCount val="12"/>
                <c:pt idx="0">
                  <c:v>106.76254233688755</c:v>
                </c:pt>
                <c:pt idx="1">
                  <c:v>103.99401409705082</c:v>
                </c:pt>
                <c:pt idx="2">
                  <c:v>102.9844826731446</c:v>
                </c:pt>
                <c:pt idx="3">
                  <c:v>104.25375933624426</c:v>
                </c:pt>
                <c:pt idx="4">
                  <c:v>103.69514967303557</c:v>
                </c:pt>
                <c:pt idx="5">
                  <c:v>103.73296574651714</c:v>
                </c:pt>
                <c:pt idx="6">
                  <c:v>102.0803196085152</c:v>
                </c:pt>
                <c:pt idx="7">
                  <c:v>103.37103710497708</c:v>
                </c:pt>
                <c:pt idx="8">
                  <c:v>103.3795045969959</c:v>
                </c:pt>
                <c:pt idx="9">
                  <c:v>105.5102320992608</c:v>
                </c:pt>
                <c:pt idx="10">
                  <c:v>105.10697146893162</c:v>
                </c:pt>
                <c:pt idx="11">
                  <c:v>103.46845679585779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Hárok12!$J$160</c:f>
              <c:strCache>
                <c:ptCount val="1"/>
                <c:pt idx="0">
                  <c:v>2018 odhad</c:v>
                </c:pt>
              </c:strCache>
            </c:strRef>
          </c:tx>
          <c:cat>
            <c:strRef>
              <c:f>Hárok12!$B$161:$B$172</c:f>
              <c:strCache>
                <c:ptCount val="12"/>
                <c:pt idx="0">
                  <c:v>január</c:v>
                </c:pt>
                <c:pt idx="1">
                  <c:v>I. +II.</c:v>
                </c:pt>
                <c:pt idx="2">
                  <c:v>1. Q </c:v>
                </c:pt>
                <c:pt idx="3">
                  <c:v>apríl</c:v>
                </c:pt>
                <c:pt idx="4">
                  <c:v>IV. + V.</c:v>
                </c:pt>
                <c:pt idx="5">
                  <c:v>2. Q</c:v>
                </c:pt>
                <c:pt idx="6">
                  <c:v>júl </c:v>
                </c:pt>
                <c:pt idx="7">
                  <c:v>VII. +VIII.</c:v>
                </c:pt>
                <c:pt idx="8">
                  <c:v>3. Q</c:v>
                </c:pt>
                <c:pt idx="9">
                  <c:v>október</c:v>
                </c:pt>
                <c:pt idx="10">
                  <c:v>X. + XI.</c:v>
                </c:pt>
                <c:pt idx="11">
                  <c:v>4. Q</c:v>
                </c:pt>
              </c:strCache>
            </c:strRef>
          </c:cat>
          <c:val>
            <c:numRef>
              <c:f>Hárok12!$J$161:$J$172</c:f>
              <c:numCache>
                <c:formatCode>0.00</c:formatCode>
                <c:ptCount val="12"/>
                <c:pt idx="0">
                  <c:v>100.98523803557751</c:v>
                </c:pt>
                <c:pt idx="1">
                  <c:v>102.06270641729928</c:v>
                </c:pt>
                <c:pt idx="2">
                  <c:v>101.45824060701392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Hárok12!$K$160</c:f>
              <c:strCache>
                <c:ptCount val="1"/>
                <c:pt idx="0">
                  <c:v>HDP ŠÚ SR</c:v>
                </c:pt>
              </c:strCache>
            </c:strRef>
          </c:tx>
          <c:cat>
            <c:strRef>
              <c:f>Hárok12!$B$161:$B$172</c:f>
              <c:strCache>
                <c:ptCount val="12"/>
                <c:pt idx="0">
                  <c:v>január</c:v>
                </c:pt>
                <c:pt idx="1">
                  <c:v>I. +II.</c:v>
                </c:pt>
                <c:pt idx="2">
                  <c:v>1. Q </c:v>
                </c:pt>
                <c:pt idx="3">
                  <c:v>apríl</c:v>
                </c:pt>
                <c:pt idx="4">
                  <c:v>IV. + V.</c:v>
                </c:pt>
                <c:pt idx="5">
                  <c:v>2. Q</c:v>
                </c:pt>
                <c:pt idx="6">
                  <c:v>júl </c:v>
                </c:pt>
                <c:pt idx="7">
                  <c:v>VII. +VIII.</c:v>
                </c:pt>
                <c:pt idx="8">
                  <c:v>3. Q</c:v>
                </c:pt>
                <c:pt idx="9">
                  <c:v>október</c:v>
                </c:pt>
                <c:pt idx="10">
                  <c:v>X. + XI.</c:v>
                </c:pt>
                <c:pt idx="11">
                  <c:v>4. Q</c:v>
                </c:pt>
              </c:strCache>
            </c:strRef>
          </c:cat>
          <c:val>
            <c:numRef>
              <c:f>Hárok12!$K$161:$K$172</c:f>
              <c:numCache>
                <c:formatCode>General</c:formatCode>
                <c:ptCount val="12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302464"/>
        <c:axId val="40304000"/>
      </c:lineChart>
      <c:catAx>
        <c:axId val="4029504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40300928"/>
        <c:crosses val="autoZero"/>
        <c:auto val="0"/>
        <c:lblAlgn val="ctr"/>
        <c:lblOffset val="100"/>
        <c:tickMarkSkip val="1"/>
        <c:noMultiLvlLbl val="0"/>
      </c:catAx>
      <c:valAx>
        <c:axId val="403009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40295040"/>
        <c:crosses val="autoZero"/>
        <c:crossBetween val="between"/>
      </c:valAx>
      <c:catAx>
        <c:axId val="40302464"/>
        <c:scaling>
          <c:orientation val="minMax"/>
        </c:scaling>
        <c:delete val="1"/>
        <c:axPos val="b"/>
        <c:majorTickMark val="out"/>
        <c:minorTickMark val="none"/>
        <c:tickLblPos val="nextTo"/>
        <c:crossAx val="40304000"/>
        <c:crosses val="autoZero"/>
        <c:auto val="0"/>
        <c:lblAlgn val="ctr"/>
        <c:lblOffset val="100"/>
        <c:noMultiLvlLbl val="0"/>
      </c:catAx>
      <c:valAx>
        <c:axId val="40304000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extTo"/>
        <c:crossAx val="403024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</c:dTable>
      <c:spPr>
        <a:gradFill rotWithShape="0">
          <a:gsLst>
            <a:gs pos="0">
              <a:srgbClr xmlns:mc="http://schemas.openxmlformats.org/markup-compatibility/2006" xmlns:a14="http://schemas.microsoft.com/office/drawing/2010/main" val="C0C0C0" mc:Ignorable="a14" a14:legacySpreadsheetColorIndex="22"/>
            </a:gs>
            <a:gs pos="50000">
              <a:srgbClr xmlns:mc="http://schemas.openxmlformats.org/markup-compatibility/2006" xmlns:a14="http://schemas.microsoft.com/office/drawing/2010/main" val="FFFFFF" mc:Ignorable="a14" a14:legacySpreadsheetColorIndex="22">
                <a:gamma/>
                <a:tint val="0"/>
                <a:invGamma/>
              </a:srgbClr>
            </a:gs>
            <a:gs pos="100000">
              <a:srgbClr xmlns:mc="http://schemas.openxmlformats.org/markup-compatibility/2006" xmlns:a14="http://schemas.microsoft.com/office/drawing/2010/main" val="C0C0C0" mc:Ignorable="a14" a14:legacySpreadsheetColorIndex="22"/>
            </a:gs>
          </a:gsLst>
          <a:lin ang="5400000" scaled="1"/>
        </a:gradFill>
        <a:ln w="12700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k-SK"/>
              <a:t>Odhad HDP s.c. I.štvrťrok 2018</a:t>
            </a:r>
          </a:p>
        </c:rich>
      </c:tx>
      <c:layout>
        <c:manualLayout>
          <c:xMode val="edge"/>
          <c:yMode val="edge"/>
          <c:x val="0.26470106993256109"/>
          <c:y val="3.490648414710872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5587054837390704"/>
          <c:y val="0.22202711634131636"/>
          <c:w val="0.71335769923186965"/>
          <c:h val="0.57783715606081498"/>
        </c:manualLayout>
      </c:layout>
      <c:lineChart>
        <c:grouping val="standard"/>
        <c:varyColors val="0"/>
        <c:ser>
          <c:idx val="1"/>
          <c:order val="0"/>
          <c:tx>
            <c:strRef>
              <c:f>Hárok12!$N$117</c:f>
              <c:strCache>
                <c:ptCount val="1"/>
                <c:pt idx="0">
                  <c:v>rast HDP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Hárok12!$M$118:$M$133</c:f>
              <c:numCache>
                <c:formatCode>General</c:formatCode>
                <c:ptCount val="1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</c:numCache>
            </c:numRef>
          </c:cat>
          <c:val>
            <c:numRef>
              <c:f>Hárok12!$N$118:$N$133</c:f>
              <c:numCache>
                <c:formatCode>#,##0.0</c:formatCode>
                <c:ptCount val="16"/>
                <c:pt idx="0">
                  <c:v>6.2000000000000028</c:v>
                </c:pt>
                <c:pt idx="1">
                  <c:v>4.4000000000000057</c:v>
                </c:pt>
                <c:pt idx="2">
                  <c:v>5</c:v>
                </c:pt>
                <c:pt idx="3">
                  <c:v>7.5999999999999943</c:v>
                </c:pt>
                <c:pt idx="4">
                  <c:v>9.2999999999999972</c:v>
                </c:pt>
                <c:pt idx="5">
                  <c:v>9.2999999999999972</c:v>
                </c:pt>
                <c:pt idx="6">
                  <c:v>-5.7999999999999972</c:v>
                </c:pt>
                <c:pt idx="7">
                  <c:v>5.7999999999999972</c:v>
                </c:pt>
                <c:pt idx="8">
                  <c:v>2.7000000000000028</c:v>
                </c:pt>
                <c:pt idx="9">
                  <c:v>2.5</c:v>
                </c:pt>
                <c:pt idx="10">
                  <c:v>1.0999999999999943</c:v>
                </c:pt>
                <c:pt idx="11">
                  <c:v>2.4000000000000057</c:v>
                </c:pt>
                <c:pt idx="12" formatCode="General">
                  <c:v>2.9</c:v>
                </c:pt>
                <c:pt idx="13" formatCode="General">
                  <c:v>3.7</c:v>
                </c:pt>
                <c:pt idx="14" formatCode="General">
                  <c:v>3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Hárok12!$O$117</c:f>
              <c:strCache>
                <c:ptCount val="1"/>
                <c:pt idx="0">
                  <c:v>rast HDPna 1GWH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Hárok12!$M$118:$M$133</c:f>
              <c:numCache>
                <c:formatCode>General</c:formatCode>
                <c:ptCount val="1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</c:numCache>
            </c:numRef>
          </c:cat>
          <c:val>
            <c:numRef>
              <c:f>Hárok12!$O$118:$O$133</c:f>
              <c:numCache>
                <c:formatCode>General</c:formatCode>
                <c:ptCount val="16"/>
                <c:pt idx="1">
                  <c:v>4.964050314482682</c:v>
                </c:pt>
                <c:pt idx="2">
                  <c:v>6.5725798543923242</c:v>
                </c:pt>
                <c:pt idx="3">
                  <c:v>3.357618127426143</c:v>
                </c:pt>
                <c:pt idx="4">
                  <c:v>14.276534906128768</c:v>
                </c:pt>
                <c:pt idx="5">
                  <c:v>14.964345534135504</c:v>
                </c:pt>
                <c:pt idx="6">
                  <c:v>1.0012435106673712</c:v>
                </c:pt>
                <c:pt idx="7">
                  <c:v>5.7667335382981744</c:v>
                </c:pt>
                <c:pt idx="8">
                  <c:v>-0.12844993300958896</c:v>
                </c:pt>
                <c:pt idx="9">
                  <c:v>3.1143138208974408</c:v>
                </c:pt>
                <c:pt idx="10">
                  <c:v>3.0635114432256305</c:v>
                </c:pt>
                <c:pt idx="11">
                  <c:v>7.0125529584076807</c:v>
                </c:pt>
                <c:pt idx="12">
                  <c:v>-0.16599799146077565</c:v>
                </c:pt>
                <c:pt idx="13">
                  <c:v>2.5848002006941817</c:v>
                </c:pt>
                <c:pt idx="14">
                  <c:v>-1.8660489168996874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437248"/>
        <c:axId val="40438784"/>
      </c:lineChart>
      <c:lineChart>
        <c:grouping val="standard"/>
        <c:varyColors val="0"/>
        <c:ser>
          <c:idx val="2"/>
          <c:order val="2"/>
          <c:tx>
            <c:strRef>
              <c:f>Hárok12!$P$117</c:f>
              <c:strCache>
                <c:ptCount val="1"/>
                <c:pt idx="0">
                  <c:v>s.c. mil.EUR/GWH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trendlin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linear"/>
            <c:forward val="1"/>
            <c:dispRSqr val="1"/>
            <c:dispEq val="1"/>
            <c:trendlineLbl>
              <c:layout>
                <c:manualLayout>
                  <c:x val="-0.58096586385569338"/>
                  <c:y val="-0.15403772202893243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</c:trendlineLbl>
          </c:trendline>
          <c:trendlin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log"/>
            <c:forward val="1"/>
            <c:dispRSqr val="1"/>
            <c:dispEq val="1"/>
            <c:trendlineLbl>
              <c:layout>
                <c:manualLayout>
                  <c:x val="2.9704169986073378E-2"/>
                  <c:y val="-0.21524307347416669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</c:trendlineLbl>
          </c:trendline>
          <c:val>
            <c:numRef>
              <c:f>Hárok12!$P$118:$P$133</c:f>
              <c:numCache>
                <c:formatCode>General</c:formatCode>
                <c:ptCount val="16"/>
                <c:pt idx="0">
                  <c:v>1.255072288946435</c:v>
                </c:pt>
                <c:pt idx="1">
                  <c:v>1.3173747088528653</c:v>
                </c:pt>
                <c:pt idx="2">
                  <c:v>1.4039602135737883</c:v>
                </c:pt>
                <c:pt idx="3">
                  <c:v>1.4510998362065926</c:v>
                </c:pt>
                <c:pt idx="4">
                  <c:v>1.6582666108454041</c:v>
                </c:pt>
                <c:pt idx="5">
                  <c:v>1.9064153563695083</c:v>
                </c:pt>
                <c:pt idx="6">
                  <c:v>1.9255032164115244</c:v>
                </c:pt>
                <c:pt idx="7">
                  <c:v>2.0365418561733377</c:v>
                </c:pt>
                <c:pt idx="8">
                  <c:v>2.0339259195233708</c:v>
                </c:pt>
                <c:pt idx="9">
                  <c:v>2.0972687555419025</c:v>
                </c:pt>
                <c:pt idx="10">
                  <c:v>2.1615188238631244</c:v>
                </c:pt>
                <c:pt idx="11">
                  <c:v>2.3130964760924768</c:v>
                </c:pt>
                <c:pt idx="12">
                  <c:v>2.3092567824016133</c:v>
                </c:pt>
                <c:pt idx="13">
                  <c:v>2.3689464563476741</c:v>
                </c:pt>
                <c:pt idx="14">
                  <c:v>2.3247407566570648</c:v>
                </c:pt>
                <c:pt idx="15">
                  <c:v>2.4173108999999999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440960"/>
        <c:axId val="40442496"/>
      </c:lineChart>
      <c:catAx>
        <c:axId val="4043724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4043878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4043878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sk-SK"/>
                  <a:t>rast HDP s.c. rast HDP na GWH v %</a:t>
                </a:r>
              </a:p>
            </c:rich>
          </c:tx>
          <c:layout>
            <c:manualLayout>
              <c:xMode val="edge"/>
              <c:yMode val="edge"/>
              <c:x val="1.6096568272179708E-2"/>
              <c:y val="0.26385235743837104"/>
            </c:manualLayout>
          </c:layout>
          <c:overlay val="0"/>
          <c:spPr>
            <a:noFill/>
            <a:ln w="25400">
              <a:noFill/>
            </a:ln>
          </c:spPr>
        </c:title>
        <c:numFmt formatCode="#,##0.0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40437248"/>
        <c:crosses val="autoZero"/>
        <c:crossBetween val="between"/>
      </c:valAx>
      <c:catAx>
        <c:axId val="404409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0442496"/>
        <c:crosses val="autoZero"/>
        <c:auto val="0"/>
        <c:lblAlgn val="ctr"/>
        <c:lblOffset val="100"/>
        <c:noMultiLvlLbl val="0"/>
      </c:catAx>
      <c:valAx>
        <c:axId val="40442496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sk-SK"/>
                  <a:t>HDP v s.c. na 1 GWH v mil.EUR/GWH</a:t>
                </a:r>
              </a:p>
            </c:rich>
          </c:tx>
          <c:layout>
            <c:manualLayout>
              <c:xMode val="edge"/>
              <c:yMode val="edge"/>
              <c:x val="0.90543270234746398"/>
              <c:y val="0.287599219589076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40440960"/>
        <c:crosses val="max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73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</c:legendEntry>
      <c:legendEntry>
        <c:idx val="1"/>
        <c:txPr>
          <a:bodyPr/>
          <a:lstStyle/>
          <a:p>
            <a:pPr>
              <a:defRPr sz="73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</c:legendEntry>
      <c:legendEntry>
        <c:idx val="2"/>
        <c:txPr>
          <a:bodyPr/>
          <a:lstStyle/>
          <a:p>
            <a:pPr>
              <a:defRPr sz="73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</c:legendEntry>
      <c:legendEntry>
        <c:idx val="3"/>
        <c:txPr>
          <a:bodyPr/>
          <a:lstStyle/>
          <a:p>
            <a:pPr>
              <a:defRPr sz="73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</c:legendEntry>
      <c:legendEntry>
        <c:idx val="4"/>
        <c:txPr>
          <a:bodyPr/>
          <a:lstStyle/>
          <a:p>
            <a:pPr>
              <a:defRPr sz="73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</c:legendEntry>
      <c:layout>
        <c:manualLayout>
          <c:xMode val="edge"/>
          <c:yMode val="edge"/>
          <c:x val="0.19076727059602985"/>
          <c:y val="0.83455277767698399"/>
          <c:w val="0.61286637922209808"/>
          <c:h val="0.15623064066144274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0.49951</cdr:x>
      <cdr:y>0.55589</cdr:y>
    </cdr:from>
    <cdr:to>
      <cdr:x>0.50986</cdr:x>
      <cdr:y>0.64076</cdr:y>
    </cdr:to>
    <cdr:sp macro="" textlink="">
      <cdr:nvSpPr>
        <cdr:cNvPr id="9217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19191" y="3660444"/>
          <a:ext cx="72909" cy="64325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sk-SK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 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0.49631</cdr:x>
      <cdr:y>0.47343</cdr:y>
    </cdr:from>
    <cdr:to>
      <cdr:x>0.57846</cdr:x>
      <cdr:y>0.51779</cdr:y>
    </cdr:to>
    <cdr:sp macro="" textlink="">
      <cdr:nvSpPr>
        <cdr:cNvPr id="819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69952" y="1806948"/>
          <a:ext cx="494512" cy="16902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sk-SK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1,45911</a:t>
          </a:r>
        </a:p>
      </cdr:txBody>
    </cdr:sp>
  </cdr:relSizeAnchor>
  <cdr:relSizeAnchor xmlns:cdr="http://schemas.openxmlformats.org/drawingml/2006/chartDrawing">
    <cdr:from>
      <cdr:x>0.50762</cdr:x>
      <cdr:y>0.50366</cdr:y>
    </cdr:from>
    <cdr:to>
      <cdr:x>0.53172</cdr:x>
      <cdr:y>0.55728</cdr:y>
    </cdr:to>
    <cdr:sp macro="" textlink="">
      <cdr:nvSpPr>
        <cdr:cNvPr id="8194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46812" y="1922105"/>
          <a:ext cx="140668" cy="2043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sk-SK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c</a:t>
          </a:r>
        </a:p>
      </cdr:txBody>
    </cdr:sp>
  </cdr:relSizeAnchor>
</c:userShape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Ondrejka Peter</dc:creator>
  <cp:lastModifiedBy>peterond</cp:lastModifiedBy>
  <cp:revision>4</cp:revision>
  <dcterms:created xsi:type="dcterms:W3CDTF">2018-04-11T08:07:00Z</dcterms:created>
  <dcterms:modified xsi:type="dcterms:W3CDTF">2018-04-11T08:28:00Z</dcterms:modified>
</cp:coreProperties>
</file>